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9EEF" w14:textId="77777777" w:rsidR="00FE067E" w:rsidRPr="00353CB4" w:rsidRDefault="00CD36CF" w:rsidP="00CC1F3B">
      <w:pPr>
        <w:pStyle w:val="TitlePageOrigin"/>
        <w:rPr>
          <w:color w:val="auto"/>
        </w:rPr>
      </w:pPr>
      <w:r w:rsidRPr="00353CB4">
        <w:rPr>
          <w:color w:val="auto"/>
        </w:rPr>
        <w:t>WEST virginia legislature</w:t>
      </w:r>
    </w:p>
    <w:p w14:paraId="7D1708F1" w14:textId="77777777" w:rsidR="00CD36CF" w:rsidRPr="00353CB4" w:rsidRDefault="00CD36CF" w:rsidP="00CC1F3B">
      <w:pPr>
        <w:pStyle w:val="TitlePageSession"/>
        <w:rPr>
          <w:color w:val="auto"/>
        </w:rPr>
      </w:pPr>
      <w:r w:rsidRPr="00353CB4">
        <w:rPr>
          <w:color w:val="auto"/>
        </w:rPr>
        <w:t>20</w:t>
      </w:r>
      <w:r w:rsidR="007F29DD" w:rsidRPr="00353CB4">
        <w:rPr>
          <w:color w:val="auto"/>
        </w:rPr>
        <w:t>2</w:t>
      </w:r>
      <w:r w:rsidR="00AB0024" w:rsidRPr="00353CB4">
        <w:rPr>
          <w:color w:val="auto"/>
        </w:rPr>
        <w:t>4</w:t>
      </w:r>
      <w:r w:rsidRPr="00353CB4">
        <w:rPr>
          <w:color w:val="auto"/>
        </w:rPr>
        <w:t xml:space="preserve"> regular session</w:t>
      </w:r>
    </w:p>
    <w:p w14:paraId="77BF08BF" w14:textId="77777777" w:rsidR="00CD36CF" w:rsidRPr="00353CB4" w:rsidRDefault="001B0A96" w:rsidP="00CC1F3B">
      <w:pPr>
        <w:pStyle w:val="TitlePageBillPrefix"/>
        <w:rPr>
          <w:color w:val="auto"/>
        </w:rPr>
      </w:pPr>
      <w:sdt>
        <w:sdtPr>
          <w:rPr>
            <w:color w:val="auto"/>
          </w:rPr>
          <w:tag w:val="IntroDate"/>
          <w:id w:val="-1236936958"/>
          <w:placeholder>
            <w:docPart w:val="8ACD9E91BA4D4518BE52806586F8A910"/>
          </w:placeholder>
          <w:text/>
        </w:sdtPr>
        <w:sdtEndPr/>
        <w:sdtContent>
          <w:r w:rsidR="00AE48A0" w:rsidRPr="00353CB4">
            <w:rPr>
              <w:color w:val="auto"/>
            </w:rPr>
            <w:t>Introduced</w:t>
          </w:r>
        </w:sdtContent>
      </w:sdt>
    </w:p>
    <w:p w14:paraId="76BF89AF" w14:textId="024608DE" w:rsidR="00CD36CF" w:rsidRPr="00353CB4" w:rsidRDefault="001B0A96" w:rsidP="00CC1F3B">
      <w:pPr>
        <w:pStyle w:val="BillNumber"/>
        <w:rPr>
          <w:color w:val="auto"/>
        </w:rPr>
      </w:pPr>
      <w:sdt>
        <w:sdtPr>
          <w:rPr>
            <w:color w:val="auto"/>
          </w:rPr>
          <w:tag w:val="Chamber"/>
          <w:id w:val="893011969"/>
          <w:lock w:val="sdtLocked"/>
          <w:placeholder>
            <w:docPart w:val="003397EF6CCF4DD6B4978015A8327708"/>
          </w:placeholder>
          <w:dropDownList>
            <w:listItem w:displayText="House" w:value="House"/>
            <w:listItem w:displayText="Senate" w:value="Senate"/>
          </w:dropDownList>
        </w:sdtPr>
        <w:sdtEndPr/>
        <w:sdtContent>
          <w:r w:rsidR="005D7E17" w:rsidRPr="00353CB4">
            <w:rPr>
              <w:color w:val="auto"/>
            </w:rPr>
            <w:t>Senate</w:t>
          </w:r>
        </w:sdtContent>
      </w:sdt>
      <w:r w:rsidR="00303684" w:rsidRPr="00353CB4">
        <w:rPr>
          <w:color w:val="auto"/>
        </w:rPr>
        <w:t xml:space="preserve"> </w:t>
      </w:r>
      <w:r w:rsidR="00CD36CF" w:rsidRPr="00353CB4">
        <w:rPr>
          <w:color w:val="auto"/>
        </w:rPr>
        <w:t xml:space="preserve">Bill </w:t>
      </w:r>
      <w:sdt>
        <w:sdtPr>
          <w:rPr>
            <w:color w:val="auto"/>
          </w:rPr>
          <w:tag w:val="BNum"/>
          <w:id w:val="1645317809"/>
          <w:lock w:val="sdtLocked"/>
          <w:placeholder>
            <w:docPart w:val="84BB7D2988EC4BF88509F94EF827D0DB"/>
          </w:placeholder>
          <w:text/>
        </w:sdtPr>
        <w:sdtEndPr/>
        <w:sdtContent>
          <w:r w:rsidR="00EA5C43">
            <w:rPr>
              <w:color w:val="auto"/>
            </w:rPr>
            <w:t>516</w:t>
          </w:r>
        </w:sdtContent>
      </w:sdt>
    </w:p>
    <w:p w14:paraId="2D11F9FC" w14:textId="0431EAF2" w:rsidR="00CD36CF" w:rsidRPr="00353CB4" w:rsidRDefault="00CD36CF" w:rsidP="00CC1F3B">
      <w:pPr>
        <w:pStyle w:val="Sponsors"/>
        <w:rPr>
          <w:color w:val="auto"/>
        </w:rPr>
      </w:pPr>
      <w:r w:rsidRPr="00353CB4">
        <w:rPr>
          <w:color w:val="auto"/>
        </w:rPr>
        <w:t xml:space="preserve">By </w:t>
      </w:r>
      <w:sdt>
        <w:sdtPr>
          <w:rPr>
            <w:color w:val="auto"/>
          </w:rPr>
          <w:tag w:val="Sponsors"/>
          <w:id w:val="1589585889"/>
          <w:placeholder>
            <w:docPart w:val="20D02D46F0304AD5A6D9DD5AA581718E"/>
          </w:placeholder>
          <w:text w:multiLine="1"/>
        </w:sdtPr>
        <w:sdtEndPr/>
        <w:sdtContent>
          <w:r w:rsidR="00702AC2" w:rsidRPr="00353CB4">
            <w:rPr>
              <w:color w:val="auto"/>
            </w:rPr>
            <w:t>S</w:t>
          </w:r>
          <w:r w:rsidR="00523302" w:rsidRPr="00353CB4">
            <w:rPr>
              <w:color w:val="auto"/>
            </w:rPr>
            <w:t>enators Woelfel, Trump, and Caputo</w:t>
          </w:r>
        </w:sdtContent>
      </w:sdt>
    </w:p>
    <w:p w14:paraId="25AFF252" w14:textId="4B93AC7D" w:rsidR="00E831B3" w:rsidRPr="00353CB4" w:rsidRDefault="00CD36CF" w:rsidP="00F87DDA">
      <w:pPr>
        <w:pStyle w:val="References"/>
        <w:rPr>
          <w:color w:val="auto"/>
        </w:rPr>
      </w:pPr>
      <w:r w:rsidRPr="00353CB4">
        <w:rPr>
          <w:color w:val="auto"/>
        </w:rPr>
        <w:t>[</w:t>
      </w:r>
      <w:sdt>
        <w:sdtPr>
          <w:rPr>
            <w:rFonts w:eastAsiaTheme="minorHAnsi"/>
            <w:color w:val="auto"/>
            <w:sz w:val="22"/>
          </w:rPr>
          <w:tag w:val="References"/>
          <w:id w:val="-1043047873"/>
          <w:placeholder>
            <w:docPart w:val="4E99ED7C35D14A2DACCD7F328563E869"/>
          </w:placeholder>
          <w:text w:multiLine="1"/>
        </w:sdtPr>
        <w:sdtEndPr/>
        <w:sdtContent>
          <w:r w:rsidR="00F87DDA" w:rsidRPr="00353CB4">
            <w:rPr>
              <w:rFonts w:eastAsiaTheme="minorHAnsi"/>
              <w:color w:val="auto"/>
              <w:sz w:val="22"/>
            </w:rPr>
            <w:t>Introduced</w:t>
          </w:r>
          <w:r w:rsidR="00EA5C43">
            <w:rPr>
              <w:rFonts w:eastAsiaTheme="minorHAnsi"/>
              <w:color w:val="auto"/>
              <w:sz w:val="22"/>
            </w:rPr>
            <w:t xml:space="preserve"> January 23, 2024</w:t>
          </w:r>
          <w:r w:rsidR="00F87DDA" w:rsidRPr="00353CB4">
            <w:rPr>
              <w:rFonts w:eastAsiaTheme="minorHAnsi"/>
              <w:color w:val="auto"/>
              <w:sz w:val="22"/>
            </w:rPr>
            <w:t>; referred</w:t>
          </w:r>
          <w:r w:rsidR="00F87DDA" w:rsidRPr="00353CB4">
            <w:rPr>
              <w:rFonts w:eastAsiaTheme="minorHAnsi"/>
              <w:color w:val="auto"/>
              <w:sz w:val="22"/>
            </w:rPr>
            <w:br/>
            <w:t>to the Committee on</w:t>
          </w:r>
          <w:r w:rsidR="001B0A96">
            <w:rPr>
              <w:rFonts w:eastAsiaTheme="minorHAnsi"/>
              <w:color w:val="auto"/>
              <w:sz w:val="22"/>
            </w:rPr>
            <w:t xml:space="preserve"> the Judiciary</w:t>
          </w:r>
        </w:sdtContent>
      </w:sdt>
      <w:r w:rsidRPr="00353CB4">
        <w:rPr>
          <w:color w:val="auto"/>
        </w:rPr>
        <w:t>]</w:t>
      </w:r>
    </w:p>
    <w:p w14:paraId="0E67B10A" w14:textId="0DAC0804" w:rsidR="00702AC2" w:rsidRPr="00353CB4" w:rsidRDefault="0000526A" w:rsidP="00702AC2">
      <w:pPr>
        <w:pStyle w:val="TitleSection"/>
        <w:rPr>
          <w:bCs/>
          <w:color w:val="auto"/>
        </w:rPr>
      </w:pPr>
      <w:r w:rsidRPr="00353CB4">
        <w:rPr>
          <w:color w:val="auto"/>
        </w:rPr>
        <w:lastRenderedPageBreak/>
        <w:t>A BILL</w:t>
      </w:r>
      <w:r w:rsidR="00702AC2" w:rsidRPr="00353CB4">
        <w:rPr>
          <w:color w:val="auto"/>
        </w:rPr>
        <w:t xml:space="preserve"> to amend and reenact §48-9-105 of the Code of West Virginia, 1931, as amended, relating to</w:t>
      </w:r>
      <w:r w:rsidR="00F87DDA" w:rsidRPr="00353CB4">
        <w:rPr>
          <w:color w:val="auto"/>
        </w:rPr>
        <w:t xml:space="preserve"> determining</w:t>
      </w:r>
      <w:r w:rsidR="00702AC2" w:rsidRPr="00353CB4">
        <w:rPr>
          <w:color w:val="auto"/>
        </w:rPr>
        <w:t xml:space="preserve"> </w:t>
      </w:r>
      <w:r w:rsidR="00702AC2" w:rsidRPr="00353CB4">
        <w:rPr>
          <w:bCs/>
          <w:color w:val="auto"/>
        </w:rPr>
        <w:t>venue for custodial allocation actions</w:t>
      </w:r>
      <w:r w:rsidR="00702AC2" w:rsidRPr="00353CB4">
        <w:rPr>
          <w:b/>
          <w:color w:val="auto"/>
        </w:rPr>
        <w:t xml:space="preserve"> </w:t>
      </w:r>
      <w:r w:rsidR="00702AC2" w:rsidRPr="00353CB4">
        <w:rPr>
          <w:bCs/>
          <w:color w:val="auto"/>
        </w:rPr>
        <w:t>independent of</w:t>
      </w:r>
      <w:r w:rsidR="00702AC2" w:rsidRPr="00353CB4">
        <w:rPr>
          <w:b/>
          <w:color w:val="auto"/>
        </w:rPr>
        <w:t xml:space="preserve"> </w:t>
      </w:r>
      <w:r w:rsidR="00702AC2" w:rsidRPr="00353CB4">
        <w:rPr>
          <w:bCs/>
          <w:color w:val="auto"/>
        </w:rPr>
        <w:t>divorce.</w:t>
      </w:r>
    </w:p>
    <w:p w14:paraId="272E0268" w14:textId="096C66F5" w:rsidR="00702AC2" w:rsidRPr="00353CB4" w:rsidRDefault="00303684" w:rsidP="00CC1F3B">
      <w:pPr>
        <w:pStyle w:val="EnactingClause"/>
        <w:rPr>
          <w:color w:val="auto"/>
        </w:rPr>
      </w:pPr>
      <w:r w:rsidRPr="00353CB4">
        <w:rPr>
          <w:color w:val="auto"/>
        </w:rPr>
        <w:t>Be it enacted by the Legislature of West Virginia:</w:t>
      </w:r>
    </w:p>
    <w:p w14:paraId="704100BD" w14:textId="77777777" w:rsidR="00702AC2" w:rsidRPr="00353CB4" w:rsidRDefault="00702AC2" w:rsidP="00702AC2">
      <w:pPr>
        <w:pStyle w:val="ArticleHeading"/>
        <w:rPr>
          <w:color w:val="auto"/>
        </w:rPr>
        <w:sectPr w:rsidR="00702AC2" w:rsidRPr="00353CB4" w:rsidSect="00F87DDA">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353CB4">
        <w:rPr>
          <w:color w:val="auto"/>
        </w:rPr>
        <w:t>ARTICLE 9. ALLOCATION OF CUSTODIAL RESPONSIBILITY AND DECISION-MAKING RESPONSIBILITY OF CHILDREN.</w:t>
      </w:r>
    </w:p>
    <w:p w14:paraId="08C6515E" w14:textId="77777777" w:rsidR="00702AC2" w:rsidRPr="00353CB4" w:rsidRDefault="00702AC2" w:rsidP="00702AC2">
      <w:pPr>
        <w:pStyle w:val="SectionHeading"/>
        <w:rPr>
          <w:color w:val="auto"/>
        </w:rPr>
      </w:pPr>
      <w:r w:rsidRPr="00353CB4">
        <w:rPr>
          <w:color w:val="auto"/>
        </w:rPr>
        <w:t>§48-9-105. Venue for custodial allocation actions independent of divorce.</w:t>
      </w:r>
    </w:p>
    <w:p w14:paraId="3B2C3C9E" w14:textId="77777777" w:rsidR="00702AC2" w:rsidRPr="00353CB4" w:rsidRDefault="00702AC2" w:rsidP="00702AC2">
      <w:pPr>
        <w:pStyle w:val="SectionBody"/>
        <w:rPr>
          <w:color w:val="auto"/>
        </w:rPr>
      </w:pPr>
      <w:r w:rsidRPr="00353CB4">
        <w:rPr>
          <w:color w:val="auto"/>
        </w:rPr>
        <w:t xml:space="preserve">(a) Venue for the initial determination of custodial allocation or child custody determination within a divorce action shall be governed by §48-5-106 or §48-20-101 </w:t>
      </w:r>
      <w:r w:rsidRPr="00353CB4">
        <w:rPr>
          <w:i/>
          <w:color w:val="auto"/>
        </w:rPr>
        <w:t>et seq</w:t>
      </w:r>
      <w:r w:rsidRPr="00353CB4">
        <w:rPr>
          <w:color w:val="auto"/>
        </w:rPr>
        <w:t>. of this code, or both.</w:t>
      </w:r>
    </w:p>
    <w:p w14:paraId="2B1E5F74" w14:textId="77777777" w:rsidR="00702AC2" w:rsidRPr="00353CB4" w:rsidRDefault="00702AC2" w:rsidP="00702AC2">
      <w:pPr>
        <w:pStyle w:val="SectionBody"/>
        <w:rPr>
          <w:color w:val="auto"/>
        </w:rPr>
      </w:pPr>
      <w:r w:rsidRPr="00353CB4">
        <w:rPr>
          <w:color w:val="auto"/>
        </w:rPr>
        <w:t xml:space="preserve">(b) Venue for the initial determination of custodial allocation or child custody determination as between parties who reside in separate states shall be governed by §48-20-101 </w:t>
      </w:r>
      <w:r w:rsidRPr="00353CB4">
        <w:rPr>
          <w:i/>
          <w:iCs/>
          <w:color w:val="auto"/>
        </w:rPr>
        <w:t>et seq</w:t>
      </w:r>
      <w:r w:rsidRPr="00353CB4">
        <w:rPr>
          <w:color w:val="auto"/>
        </w:rPr>
        <w:t>. of this code.</w:t>
      </w:r>
    </w:p>
    <w:p w14:paraId="4740A7C0" w14:textId="77777777" w:rsidR="00702AC2" w:rsidRPr="00353CB4" w:rsidRDefault="00702AC2" w:rsidP="00702AC2">
      <w:pPr>
        <w:pStyle w:val="SectionBody"/>
        <w:rPr>
          <w:color w:val="auto"/>
        </w:rPr>
      </w:pPr>
      <w:r w:rsidRPr="00353CB4">
        <w:rPr>
          <w:color w:val="auto"/>
        </w:rPr>
        <w:t xml:space="preserve">(c) Venue for modification of custodial allocation or modification of child custody determination which was previously determined in a tribunal of a state other than West Virginia shall be governed by §48-20-101 </w:t>
      </w:r>
      <w:r w:rsidRPr="00353CB4">
        <w:rPr>
          <w:i/>
          <w:iCs/>
          <w:color w:val="auto"/>
        </w:rPr>
        <w:t>et seq</w:t>
      </w:r>
      <w:r w:rsidRPr="00353CB4">
        <w:rPr>
          <w:color w:val="auto"/>
        </w:rPr>
        <w:t>. of this code.</w:t>
      </w:r>
    </w:p>
    <w:p w14:paraId="16705CF3" w14:textId="77777777" w:rsidR="00702AC2" w:rsidRPr="00353CB4" w:rsidRDefault="00702AC2" w:rsidP="00702AC2">
      <w:pPr>
        <w:pStyle w:val="SectionBody"/>
        <w:rPr>
          <w:color w:val="auto"/>
          <w:u w:val="single"/>
        </w:rPr>
      </w:pPr>
      <w:r w:rsidRPr="00353CB4">
        <w:rPr>
          <w:color w:val="auto"/>
          <w:u w:val="single"/>
        </w:rPr>
        <w:t>(d) When all persons with potential custodial responsibility reside within the state of West Virginia and the home state of the child is West Virginia as defined in §48-20-102(g) of this code:</w:t>
      </w:r>
    </w:p>
    <w:p w14:paraId="6FAA94D7" w14:textId="77777777" w:rsidR="00702AC2" w:rsidRPr="00353CB4" w:rsidRDefault="00702AC2" w:rsidP="00702AC2">
      <w:pPr>
        <w:pStyle w:val="SectionBody"/>
        <w:rPr>
          <w:color w:val="auto"/>
          <w:u w:val="single"/>
        </w:rPr>
      </w:pPr>
      <w:r w:rsidRPr="00353CB4">
        <w:rPr>
          <w:color w:val="auto"/>
          <w:u w:val="single"/>
        </w:rPr>
        <w:t>(1) Venue for an initial determination of custodial allocation shall be properly had in the county where the parties and the child last resided together or in the child’s home county, which is where the child has resided for at least six consecutive months or since birth.  If a child, over the age of six months, has not resided in any county for six consecutive months, then venue lies in the county where the respondent resides at the time of the filing of the action.</w:t>
      </w:r>
    </w:p>
    <w:p w14:paraId="7E1CEFA4" w14:textId="77777777" w:rsidR="00702AC2" w:rsidRPr="00353CB4" w:rsidRDefault="00702AC2" w:rsidP="00702AC2">
      <w:pPr>
        <w:pStyle w:val="SectionBody"/>
        <w:rPr>
          <w:color w:val="auto"/>
          <w:u w:val="single"/>
        </w:rPr>
      </w:pPr>
      <w:r w:rsidRPr="00353CB4">
        <w:rPr>
          <w:color w:val="auto"/>
          <w:u w:val="single"/>
        </w:rPr>
        <w:t>(2) Venue for a modification of custodial allocation remains in the county in which the initial custodial allocation was determined until such time as:</w:t>
      </w:r>
    </w:p>
    <w:p w14:paraId="37226A61" w14:textId="77777777" w:rsidR="00702AC2" w:rsidRPr="00353CB4" w:rsidRDefault="00702AC2" w:rsidP="00702AC2">
      <w:pPr>
        <w:pStyle w:val="SectionBody"/>
        <w:rPr>
          <w:color w:val="auto"/>
          <w:u w:val="single"/>
        </w:rPr>
      </w:pPr>
      <w:r w:rsidRPr="00353CB4">
        <w:rPr>
          <w:color w:val="auto"/>
          <w:u w:val="single"/>
        </w:rPr>
        <w:t xml:space="preserve">(A) Neither the child nor any person with custodial responsibility has resided in the county where the initial custodial allocation was determined for a period of not less than six months </w:t>
      </w:r>
      <w:r w:rsidRPr="00353CB4">
        <w:rPr>
          <w:color w:val="auto"/>
          <w:u w:val="single"/>
        </w:rPr>
        <w:lastRenderedPageBreak/>
        <w:t>preceding the filing of the modification action; neither the child nor any person with custodial responsibility resides within 40 miles of the county seat of the county where the initial custodial allocation was determined; a modification action has been filed in the county where the initial custodial allocation was determined; and a motion to change venue to the residence of the responding party has been filed.</w:t>
      </w:r>
    </w:p>
    <w:p w14:paraId="3E57D232" w14:textId="0E03DD24" w:rsidR="00702AC2" w:rsidRPr="00353CB4" w:rsidRDefault="00702AC2" w:rsidP="00702AC2">
      <w:pPr>
        <w:pStyle w:val="SectionBody"/>
        <w:rPr>
          <w:color w:val="auto"/>
          <w:u w:val="single"/>
        </w:rPr>
      </w:pPr>
      <w:r w:rsidRPr="00353CB4">
        <w:rPr>
          <w:color w:val="auto"/>
          <w:u w:val="single"/>
        </w:rPr>
        <w:t>(B) If the conditions of paragraph (A) of this subdivision are satisfied, the matter shall be transferred to the family court in the responding party</w:t>
      </w:r>
      <w:r w:rsidR="008F554D" w:rsidRPr="00353CB4">
        <w:rPr>
          <w:color w:val="auto"/>
          <w:u w:val="single"/>
        </w:rPr>
        <w:t>'</w:t>
      </w:r>
      <w:r w:rsidRPr="00353CB4">
        <w:rPr>
          <w:color w:val="auto"/>
          <w:u w:val="single"/>
        </w:rPr>
        <w:t>s county of residence; or</w:t>
      </w:r>
    </w:p>
    <w:p w14:paraId="33CA0A67" w14:textId="0F428CE2" w:rsidR="00702AC2" w:rsidRPr="00353CB4" w:rsidRDefault="00702AC2" w:rsidP="00702AC2">
      <w:pPr>
        <w:pStyle w:val="SectionBody"/>
        <w:rPr>
          <w:color w:val="auto"/>
          <w:u w:val="single"/>
        </w:rPr>
        <w:sectPr w:rsidR="00702AC2" w:rsidRPr="00353CB4"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353CB4">
        <w:rPr>
          <w:color w:val="auto"/>
          <w:u w:val="single"/>
        </w:rPr>
        <w:t>(C) If the conditions of paragraph (A) of this subdivision are met and all parties consent, the matter may be transferred to the family court in the petitioning party</w:t>
      </w:r>
      <w:r w:rsidR="008F554D" w:rsidRPr="00353CB4">
        <w:rPr>
          <w:color w:val="auto"/>
          <w:u w:val="single"/>
        </w:rPr>
        <w:t>'</w:t>
      </w:r>
      <w:r w:rsidRPr="00353CB4">
        <w:rPr>
          <w:color w:val="auto"/>
          <w:u w:val="single"/>
        </w:rPr>
        <w:t>s county of residence.</w:t>
      </w:r>
    </w:p>
    <w:p w14:paraId="6D711497" w14:textId="77777777" w:rsidR="00C33014" w:rsidRPr="00353CB4" w:rsidRDefault="00C33014" w:rsidP="00702AC2">
      <w:pPr>
        <w:pStyle w:val="Note"/>
        <w:ind w:left="0"/>
        <w:rPr>
          <w:color w:val="auto"/>
        </w:rPr>
      </w:pPr>
    </w:p>
    <w:p w14:paraId="262FD2B4" w14:textId="475C33FB" w:rsidR="006865E9" w:rsidRPr="00353CB4" w:rsidRDefault="00CF1DCA" w:rsidP="00CC1F3B">
      <w:pPr>
        <w:pStyle w:val="Note"/>
        <w:rPr>
          <w:color w:val="auto"/>
        </w:rPr>
      </w:pPr>
      <w:r w:rsidRPr="00353CB4">
        <w:rPr>
          <w:color w:val="auto"/>
        </w:rPr>
        <w:t>NOTE: The</w:t>
      </w:r>
      <w:r w:rsidR="006865E9" w:rsidRPr="00353CB4">
        <w:rPr>
          <w:color w:val="auto"/>
        </w:rPr>
        <w:t xml:space="preserve"> purpose of this bill is to</w:t>
      </w:r>
      <w:r w:rsidR="00F87DDA" w:rsidRPr="00353CB4">
        <w:rPr>
          <w:color w:val="auto"/>
        </w:rPr>
        <w:t xml:space="preserve"> determine venue for custodial allocation actions independent of divorce.</w:t>
      </w:r>
      <w:r w:rsidR="006865E9" w:rsidRPr="00353CB4">
        <w:rPr>
          <w:color w:val="auto"/>
        </w:rPr>
        <w:t xml:space="preserve"> </w:t>
      </w:r>
    </w:p>
    <w:p w14:paraId="13B301F5" w14:textId="77777777" w:rsidR="006865E9" w:rsidRPr="00353CB4" w:rsidRDefault="00AE48A0" w:rsidP="00CC1F3B">
      <w:pPr>
        <w:pStyle w:val="Note"/>
        <w:rPr>
          <w:color w:val="auto"/>
        </w:rPr>
      </w:pPr>
      <w:r w:rsidRPr="00353CB4">
        <w:rPr>
          <w:color w:val="auto"/>
        </w:rPr>
        <w:t>Strike-throughs indicate language that would be stricken from a heading or the present law and underscoring indicates new language that would be added.</w:t>
      </w:r>
    </w:p>
    <w:sectPr w:rsidR="006865E9" w:rsidRPr="00353CB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BDF1" w14:textId="77777777" w:rsidR="00BF511C" w:rsidRPr="00B844FE" w:rsidRDefault="00BF511C" w:rsidP="00B844FE">
      <w:r>
        <w:separator/>
      </w:r>
    </w:p>
  </w:endnote>
  <w:endnote w:type="continuationSeparator" w:id="0">
    <w:p w14:paraId="497A59D3" w14:textId="77777777" w:rsidR="00BF511C" w:rsidRPr="00B844FE" w:rsidRDefault="00BF51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92877"/>
      <w:docPartObj>
        <w:docPartGallery w:val="Page Numbers (Bottom of Page)"/>
        <w:docPartUnique/>
      </w:docPartObj>
    </w:sdtPr>
    <w:sdtEndPr>
      <w:rPr>
        <w:noProof/>
      </w:rPr>
    </w:sdtEndPr>
    <w:sdtContent>
      <w:p w14:paraId="6B1C80FD" w14:textId="0CC878DC" w:rsidR="00F87DDA" w:rsidRDefault="00F87D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AE92E" w14:textId="77777777" w:rsidR="00F87DDA" w:rsidRDefault="00F8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7DF6" w14:textId="18FD3606" w:rsidR="00F87DDA" w:rsidRDefault="00F87DDA" w:rsidP="00F87DDA">
    <w:pPr>
      <w:pStyle w:val="Footer"/>
    </w:pPr>
  </w:p>
  <w:p w14:paraId="3F8078F8" w14:textId="77777777" w:rsidR="00F87DDA" w:rsidRDefault="00F87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B101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8D853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76273"/>
      <w:docPartObj>
        <w:docPartGallery w:val="Page Numbers (Bottom of Page)"/>
        <w:docPartUnique/>
      </w:docPartObj>
    </w:sdtPr>
    <w:sdtEndPr>
      <w:rPr>
        <w:noProof/>
      </w:rPr>
    </w:sdtEndPr>
    <w:sdtContent>
      <w:p w14:paraId="276804C0" w14:textId="7C5B6BEC" w:rsidR="00F87DDA" w:rsidRDefault="00F87DDA">
        <w:pPr>
          <w:pStyle w:val="Footer"/>
          <w:jc w:val="center"/>
        </w:pPr>
        <w:r>
          <w:t>2</w:t>
        </w:r>
      </w:p>
    </w:sdtContent>
  </w:sdt>
  <w:p w14:paraId="465DD6BE" w14:textId="77777777" w:rsidR="00F87DDA" w:rsidRDefault="00F87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1CC8" w14:textId="77777777" w:rsidR="00BF511C" w:rsidRPr="00B844FE" w:rsidRDefault="00BF511C" w:rsidP="00B844FE">
      <w:r>
        <w:separator/>
      </w:r>
    </w:p>
  </w:footnote>
  <w:footnote w:type="continuationSeparator" w:id="0">
    <w:p w14:paraId="7EE32A35" w14:textId="77777777" w:rsidR="00BF511C" w:rsidRPr="00B844FE" w:rsidRDefault="00BF51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A4A2" w14:textId="506F03C8" w:rsidR="00F87DDA" w:rsidRDefault="00F87DDA">
    <w:pPr>
      <w:pStyle w:val="Header"/>
    </w:pPr>
    <w:r>
      <w:t>Intr SB</w:t>
    </w:r>
    <w:r>
      <w:tab/>
    </w:r>
    <w:r>
      <w:tab/>
      <w:t>2024R3182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E56F" w14:textId="77777777" w:rsidR="002A0269" w:rsidRPr="00B844FE" w:rsidRDefault="001B0A96">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1E78" w14:textId="3A37A39D" w:rsidR="00C33014" w:rsidRPr="00C33014" w:rsidRDefault="00AE48A0" w:rsidP="000573A9">
    <w:pPr>
      <w:pStyle w:val="HeaderStyle"/>
    </w:pPr>
    <w:r>
      <w:t>I</w:t>
    </w:r>
    <w:r w:rsidR="001A66B7">
      <w:t xml:space="preserve">ntr </w:t>
    </w:r>
    <w:r w:rsidR="00F87DDA">
      <w:t>SB</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87DDA" w:rsidRPr="00F87DDA">
          <w:rPr>
            <w:color w:val="auto"/>
          </w:rPr>
          <w:t>2024R3182</w:t>
        </w:r>
      </w:sdtContent>
    </w:sdt>
  </w:p>
  <w:p w14:paraId="14EAACD3"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1681" w14:textId="77777777" w:rsidR="002A0269" w:rsidRPr="002A0269" w:rsidRDefault="001B0A9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C2"/>
    <w:rsid w:val="0000526A"/>
    <w:rsid w:val="000573A9"/>
    <w:rsid w:val="00085D22"/>
    <w:rsid w:val="000C5C77"/>
    <w:rsid w:val="000E3912"/>
    <w:rsid w:val="0010070F"/>
    <w:rsid w:val="001143CA"/>
    <w:rsid w:val="0015112E"/>
    <w:rsid w:val="001552E7"/>
    <w:rsid w:val="001566B4"/>
    <w:rsid w:val="001A66B7"/>
    <w:rsid w:val="001B0A96"/>
    <w:rsid w:val="001C279E"/>
    <w:rsid w:val="001D459E"/>
    <w:rsid w:val="0027011C"/>
    <w:rsid w:val="00274200"/>
    <w:rsid w:val="00275740"/>
    <w:rsid w:val="002A0269"/>
    <w:rsid w:val="00303684"/>
    <w:rsid w:val="003143F5"/>
    <w:rsid w:val="00314854"/>
    <w:rsid w:val="00353CB4"/>
    <w:rsid w:val="00394191"/>
    <w:rsid w:val="003C51CD"/>
    <w:rsid w:val="004368E0"/>
    <w:rsid w:val="004C13DD"/>
    <w:rsid w:val="004D2CC5"/>
    <w:rsid w:val="004E3441"/>
    <w:rsid w:val="00500579"/>
    <w:rsid w:val="00523302"/>
    <w:rsid w:val="00575F35"/>
    <w:rsid w:val="005A5366"/>
    <w:rsid w:val="005D7E17"/>
    <w:rsid w:val="006210B7"/>
    <w:rsid w:val="006369EB"/>
    <w:rsid w:val="00637E73"/>
    <w:rsid w:val="006865E9"/>
    <w:rsid w:val="00691F3E"/>
    <w:rsid w:val="00694BFB"/>
    <w:rsid w:val="006A106B"/>
    <w:rsid w:val="006C523D"/>
    <w:rsid w:val="006D4036"/>
    <w:rsid w:val="00702AC2"/>
    <w:rsid w:val="007A5259"/>
    <w:rsid w:val="007A7081"/>
    <w:rsid w:val="007F1CF5"/>
    <w:rsid w:val="007F29DD"/>
    <w:rsid w:val="00834EDE"/>
    <w:rsid w:val="008736AA"/>
    <w:rsid w:val="008D275D"/>
    <w:rsid w:val="008F554D"/>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BF511C"/>
    <w:rsid w:val="00C32FED"/>
    <w:rsid w:val="00C33014"/>
    <w:rsid w:val="00C33434"/>
    <w:rsid w:val="00C34869"/>
    <w:rsid w:val="00C42EB6"/>
    <w:rsid w:val="00C75AE9"/>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5C43"/>
    <w:rsid w:val="00EE70CB"/>
    <w:rsid w:val="00F41CA2"/>
    <w:rsid w:val="00F443C0"/>
    <w:rsid w:val="00F62EFB"/>
    <w:rsid w:val="00F87DD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82F6"/>
  <w15:chartTrackingRefBased/>
  <w15:docId w15:val="{5F47898B-6768-4144-B5A1-ADE35530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87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2AC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D9E91BA4D4518BE52806586F8A910"/>
        <w:category>
          <w:name w:val="General"/>
          <w:gallery w:val="placeholder"/>
        </w:category>
        <w:types>
          <w:type w:val="bbPlcHdr"/>
        </w:types>
        <w:behaviors>
          <w:behavior w:val="content"/>
        </w:behaviors>
        <w:guid w:val="{7D8868EB-ADB9-4C5A-AE1C-885B6CD52730}"/>
      </w:docPartPr>
      <w:docPartBody>
        <w:p w:rsidR="00627306" w:rsidRDefault="00627306">
          <w:pPr>
            <w:pStyle w:val="8ACD9E91BA4D4518BE52806586F8A910"/>
          </w:pPr>
          <w:r w:rsidRPr="00B844FE">
            <w:t>Prefix Text</w:t>
          </w:r>
        </w:p>
      </w:docPartBody>
    </w:docPart>
    <w:docPart>
      <w:docPartPr>
        <w:name w:val="003397EF6CCF4DD6B4978015A8327708"/>
        <w:category>
          <w:name w:val="General"/>
          <w:gallery w:val="placeholder"/>
        </w:category>
        <w:types>
          <w:type w:val="bbPlcHdr"/>
        </w:types>
        <w:behaviors>
          <w:behavior w:val="content"/>
        </w:behaviors>
        <w:guid w:val="{8BDF3F44-23D2-4117-BC68-2FFE98346EB0}"/>
      </w:docPartPr>
      <w:docPartBody>
        <w:p w:rsidR="00627306" w:rsidRDefault="00627306">
          <w:pPr>
            <w:pStyle w:val="003397EF6CCF4DD6B4978015A8327708"/>
          </w:pPr>
          <w:r w:rsidRPr="00B844FE">
            <w:t>[Type here]</w:t>
          </w:r>
        </w:p>
      </w:docPartBody>
    </w:docPart>
    <w:docPart>
      <w:docPartPr>
        <w:name w:val="84BB7D2988EC4BF88509F94EF827D0DB"/>
        <w:category>
          <w:name w:val="General"/>
          <w:gallery w:val="placeholder"/>
        </w:category>
        <w:types>
          <w:type w:val="bbPlcHdr"/>
        </w:types>
        <w:behaviors>
          <w:behavior w:val="content"/>
        </w:behaviors>
        <w:guid w:val="{4CEE8DFB-1803-4CDE-8A4F-ACB5B1FBE6F1}"/>
      </w:docPartPr>
      <w:docPartBody>
        <w:p w:rsidR="00627306" w:rsidRDefault="00627306">
          <w:pPr>
            <w:pStyle w:val="84BB7D2988EC4BF88509F94EF827D0DB"/>
          </w:pPr>
          <w:r w:rsidRPr="00B844FE">
            <w:t>Number</w:t>
          </w:r>
        </w:p>
      </w:docPartBody>
    </w:docPart>
    <w:docPart>
      <w:docPartPr>
        <w:name w:val="20D02D46F0304AD5A6D9DD5AA581718E"/>
        <w:category>
          <w:name w:val="General"/>
          <w:gallery w:val="placeholder"/>
        </w:category>
        <w:types>
          <w:type w:val="bbPlcHdr"/>
        </w:types>
        <w:behaviors>
          <w:behavior w:val="content"/>
        </w:behaviors>
        <w:guid w:val="{EC78332B-27B9-427C-942B-A334200F679A}"/>
      </w:docPartPr>
      <w:docPartBody>
        <w:p w:rsidR="00627306" w:rsidRDefault="00627306">
          <w:pPr>
            <w:pStyle w:val="20D02D46F0304AD5A6D9DD5AA581718E"/>
          </w:pPr>
          <w:r w:rsidRPr="00B844FE">
            <w:t>Enter Sponsors Here</w:t>
          </w:r>
        </w:p>
      </w:docPartBody>
    </w:docPart>
    <w:docPart>
      <w:docPartPr>
        <w:name w:val="4E99ED7C35D14A2DACCD7F328563E869"/>
        <w:category>
          <w:name w:val="General"/>
          <w:gallery w:val="placeholder"/>
        </w:category>
        <w:types>
          <w:type w:val="bbPlcHdr"/>
        </w:types>
        <w:behaviors>
          <w:behavior w:val="content"/>
        </w:behaviors>
        <w:guid w:val="{620FFF52-58E4-4001-94C8-6440E2EE4856}"/>
      </w:docPartPr>
      <w:docPartBody>
        <w:p w:rsidR="00627306" w:rsidRDefault="00627306">
          <w:pPr>
            <w:pStyle w:val="4E99ED7C35D14A2DACCD7F328563E8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06"/>
    <w:rsid w:val="00627306"/>
    <w:rsid w:val="00D3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D9E91BA4D4518BE52806586F8A910">
    <w:name w:val="8ACD9E91BA4D4518BE52806586F8A910"/>
  </w:style>
  <w:style w:type="paragraph" w:customStyle="1" w:styleId="003397EF6CCF4DD6B4978015A8327708">
    <w:name w:val="003397EF6CCF4DD6B4978015A8327708"/>
  </w:style>
  <w:style w:type="paragraph" w:customStyle="1" w:styleId="84BB7D2988EC4BF88509F94EF827D0DB">
    <w:name w:val="84BB7D2988EC4BF88509F94EF827D0DB"/>
  </w:style>
  <w:style w:type="paragraph" w:customStyle="1" w:styleId="20D02D46F0304AD5A6D9DD5AA581718E">
    <w:name w:val="20D02D46F0304AD5A6D9DD5AA581718E"/>
  </w:style>
  <w:style w:type="character" w:styleId="PlaceholderText">
    <w:name w:val="Placeholder Text"/>
    <w:basedOn w:val="DefaultParagraphFont"/>
    <w:uiPriority w:val="99"/>
    <w:semiHidden/>
    <w:rPr>
      <w:color w:val="808080"/>
    </w:rPr>
  </w:style>
  <w:style w:type="paragraph" w:customStyle="1" w:styleId="4E99ED7C35D14A2DACCD7F328563E869">
    <w:name w:val="4E99ED7C35D14A2DACCD7F328563E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Angie Richardson</cp:lastModifiedBy>
  <cp:revision>6</cp:revision>
  <dcterms:created xsi:type="dcterms:W3CDTF">2024-01-18T15:28:00Z</dcterms:created>
  <dcterms:modified xsi:type="dcterms:W3CDTF">2024-01-22T20:09:00Z</dcterms:modified>
</cp:coreProperties>
</file>